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66bc58"/>
          <w:sz w:val="25"/>
          <w:szCs w:val="25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66bc58"/>
          <w:sz w:val="24"/>
          <w:szCs w:val="24"/>
          <w:rtl w:val="0"/>
        </w:rPr>
        <w:t xml:space="preserve">Step 1-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66bc58"/>
          <w:sz w:val="25"/>
          <w:szCs w:val="25"/>
          <w:rtl w:val="0"/>
        </w:rPr>
        <w:t xml:space="preserve">Extent Local Wellness Policy Complies with USDA Requirements and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66bc58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66bc58"/>
          <w:sz w:val="25"/>
          <w:szCs w:val="25"/>
          <w:rtl w:val="0"/>
        </w:rPr>
        <w:t xml:space="preserve">Compares to a Model Policy Tracking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entury Gothic" w:cs="Century Gothic" w:eastAsia="Century Gothic" w:hAnsi="Century Gothic"/>
          <w:b w:val="1"/>
          <w:i w:val="1"/>
          <w:color w:val="66bc5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f5496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cc0000"/>
          <w:sz w:val="20"/>
          <w:szCs w:val="20"/>
          <w:rtl w:val="0"/>
        </w:rPr>
        <w:t xml:space="preserve">make a copy for your own use</w:t>
      </w:r>
      <w:r w:rsidDel="00000000" w:rsidR="00000000" w:rsidRPr="00000000">
        <w:rPr>
          <w:rFonts w:ascii="Arial" w:cs="Arial" w:eastAsia="Arial" w:hAnsi="Arial"/>
          <w:b w:val="1"/>
          <w:i w:val="1"/>
          <w:color w:val="2f5496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3235"/>
        <w:gridCol w:w="6115"/>
        <w:tblGridChange w:id="0">
          <w:tblGrid>
            <w:gridCol w:w="3235"/>
            <w:gridCol w:w="6115"/>
          </w:tblGrid>
        </w:tblGridChange>
      </w:tblGrid>
      <w:tr>
        <w:trPr>
          <w:cantSplit w:val="0"/>
          <w:trHeight w:val="368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Component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Select the Tool used for model LSWP comparison, upload the assessment in your folder: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If another tool was used, list it here.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cfbf9" w:val="clear"/>
              <w:spacing w:after="0" w:before="24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color w:val="66bc58"/>
                <w:u w:val="none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66bc58"/>
                  <w:u w:val="single"/>
                  <w:rtl w:val="0"/>
                </w:rPr>
                <w:t xml:space="preserve">Alliance for a Healthier Generation 10-step Checklis</w:t>
              </w:r>
            </w:hyperlink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66bc58"/>
                  <w:highlight w:val="white"/>
                  <w:u w:val="single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6bc58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1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cfbf9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i w:val="0"/>
                  <w:smallCaps w:val="0"/>
                  <w:strike w:val="0"/>
                  <w:color w:val="66bc58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The WellSAT 3.0 School Assessment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WellsAT 3.0 School Assessment Tool</w:t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Areas of Strength: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1. Free and Reduced Lunch applications are sent to all families.  Students receiving F/R lunch are not stigmatized.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2. Water availability is widely available for students during lunch and throughout the day.  Students are encouraged to bring water bottles to school to hydrate themselves as needed.  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3. Our high school class schedule has been adjusted from block schedule to traditional 8-period day schedule.  This guarantees students movement every hour.</w:t>
            </w:r>
          </w:p>
        </w:tc>
      </w:tr>
      <w:tr>
        <w:trPr>
          <w:cantSplit w:val="0"/>
          <w:trHeight w:val="1058.320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Opportunities for Improvement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1. Stronger language can be added for exemptions for infrequent school-sponsored fundraisers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2. Address nutrition standards for all food and beverages served to students after the school day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3. Improve marketing efforts to promote health and wellness.</w:t>
            </w:r>
          </w:p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As a result of the comparison, was new language adopted in the LSWP?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☐Yes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X☐No  Not yet.</w:t>
            </w:r>
          </w:p>
        </w:tc>
      </w:tr>
      <w:tr>
        <w:trPr>
          <w:cantSplit w:val="0"/>
          <w:trHeight w:val="104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right"/>
              <w:rPr>
                <w:rFonts w:ascii="Century Gothic" w:cs="Century Gothic" w:eastAsia="Century Gothic" w:hAnsi="Century Gothic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If yes, briefly describe what was adopted (include page numbers for new language if possible),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Have the changes been approved by the school board?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☐Yes</w:t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X☐No</w:t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No, not yet</w:t>
            </w:r>
          </w:p>
        </w:tc>
      </w:tr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the next steps for strengthening your LSWP.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 thorough review of the policy will take place.  A focus will be on addressing the areas of opportunity to strengthen our current policy.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b w:val="1"/>
          <w:i w:val="1"/>
          <w:u w:val="single"/>
        </w:rPr>
      </w:pPr>
      <w:hyperlink r:id="rId10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color w:val="1155cc"/>
            <w:u w:val="single"/>
            <w:rtl w:val="0"/>
          </w:rPr>
          <w:t xml:space="preserve">Return to triennial assessment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b w:val="1"/>
          <w:i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u w:val="single"/>
        </w:rPr>
        <w:drawing>
          <wp:inline distB="114300" distT="114300" distL="114300" distR="114300">
            <wp:extent cx="1499858" cy="15307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309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858" cy="1530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b w:val="1"/>
          <w:i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u w:val="single"/>
          <w:rtl w:val="0"/>
        </w:rPr>
        <w:t xml:space="preserve">Discussion/Notes:</w:t>
      </w:r>
    </w:p>
    <w:sectPr>
      <w:footerReference r:id="rId12" w:type="default"/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rPr/>
    </w:pPr>
    <w:r w:rsidDel="00000000" w:rsidR="00000000" w:rsidRPr="00000000">
      <w:rPr>
        <w:rtl w:val="0"/>
      </w:rPr>
      <w:t xml:space="preserve">Nebraska Department of Education, Office of Cooridnated Student Support Services</w:t>
    </w:r>
  </w:p>
  <w:p w:rsidR="00000000" w:rsidDel="00000000" w:rsidP="00000000" w:rsidRDefault="00000000" w:rsidRPr="00000000" w14:paraId="0000002C">
    <w:pPr>
      <w:spacing w:after="0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Adapted from the Let’s Eat Healthy Program resources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GridTable4-Accent51" w:customStyle="1">
    <w:name w:val="Grid Table 4 - Accent 51"/>
    <w:basedOn w:val="TableNormal"/>
    <w:next w:val="GridTable4-Accent5"/>
    <w:uiPriority w:val="49"/>
    <w:rsid w:val="004E4FC0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color="8eaadb" w:space="0" w:sz="4" w:val="single"/>
        <w:left w:color="8eaadb" w:space="0" w:sz="4" w:val="single"/>
        <w:bottom w:color="8eaadb" w:space="0" w:sz="4" w:val="single"/>
        <w:right w:color="8eaadb" w:space="0" w:sz="4" w:val="single"/>
        <w:insideH w:color="8eaadb" w:space="0" w:sz="4" w:val="single"/>
        <w:insideV w:color="8eaadb" w:space="0" w:sz="4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GridTable4-Accent5">
    <w:name w:val="Grid Table 4 Accent 5"/>
    <w:basedOn w:val="TableNormal"/>
    <w:uiPriority w:val="49"/>
    <w:rsid w:val="004E4FC0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390D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390D7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docs.google.com/document/d/1tsc8wzbs7MKy2l0N59wPjig_Z1-_ux0n/edit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wellsat.org/upload/docs/WellSAT%203.0%20Scoreshee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de.qualtrics.com/jfe/form/SV_cFPQKIPTSvm1sNv" TargetMode="External"/><Relationship Id="rId8" Type="http://schemas.openxmlformats.org/officeDocument/2006/relationships/hyperlink" Target="https://nde.qualtrics.com/jfe/form/SV_cFPQKIPTSvm1sN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i9+IRMVFOyUPzNc5DGrm8hoqg==">CgMxLjA4AHIhMXlLdG1Jc1hyNEpHLVZDMUtVbHBxUWJFWUdOVE1xVC1q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2022-10-03T14:38:00Z</dcterms:created>
  <dc:creator>MaryAnn Mills</dc:creator>
</cp:coreProperties>
</file>